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BA5" w:rsidRPr="00CC57AD" w:rsidRDefault="00CC1EDA" w:rsidP="00CC57AD">
      <w:pPr>
        <w:jc w:val="center"/>
        <w:rPr>
          <w:b/>
          <w:sz w:val="28"/>
          <w:szCs w:val="28"/>
        </w:rPr>
      </w:pPr>
      <w:r w:rsidRPr="00CC57AD">
        <w:rPr>
          <w:b/>
          <w:sz w:val="28"/>
          <w:szCs w:val="28"/>
        </w:rPr>
        <w:t>Calculating Tax Payer Limits</w:t>
      </w:r>
    </w:p>
    <w:p w:rsidR="00CC1EDA" w:rsidRPr="00CC57AD" w:rsidRDefault="00CC1EDA">
      <w:pPr>
        <w:rPr>
          <w:sz w:val="20"/>
          <w:szCs w:val="20"/>
        </w:rPr>
      </w:pPr>
    </w:p>
    <w:p w:rsidR="00CC1EDA" w:rsidRPr="00CC57AD" w:rsidRDefault="00CC1EDA">
      <w:pPr>
        <w:rPr>
          <w:sz w:val="20"/>
          <w:szCs w:val="20"/>
        </w:rPr>
      </w:pPr>
      <w:r w:rsidRPr="00CC57AD">
        <w:rPr>
          <w:sz w:val="20"/>
          <w:szCs w:val="20"/>
        </w:rPr>
        <w:t>At the start if each tax year and when an employee joins the scheme after 06</w:t>
      </w:r>
      <w:r w:rsidRPr="00CC57AD">
        <w:rPr>
          <w:sz w:val="20"/>
          <w:szCs w:val="20"/>
          <w:vertAlign w:val="superscript"/>
        </w:rPr>
        <w:t>th</w:t>
      </w:r>
      <w:r w:rsidRPr="00CC57AD">
        <w:rPr>
          <w:sz w:val="20"/>
          <w:szCs w:val="20"/>
        </w:rPr>
        <w:t xml:space="preserve"> April 2011, employers must complete a basic earnings assessment of an employee. This should be using figures applicable at the start of the tax year. If an employee has joined the scheme midway through the year, the employer should pro-rata the monthly salary to establish the annual amount and determine which tax band they will fall into.</w:t>
      </w:r>
    </w:p>
    <w:p w:rsidR="00CC1EDA" w:rsidRPr="00CC57AD" w:rsidRDefault="00CC1EDA">
      <w:pPr>
        <w:rPr>
          <w:sz w:val="20"/>
          <w:szCs w:val="20"/>
        </w:rPr>
      </w:pPr>
    </w:p>
    <w:p w:rsidR="00CC1EDA" w:rsidRPr="00CC57AD" w:rsidRDefault="00CC1EDA">
      <w:pPr>
        <w:rPr>
          <w:sz w:val="20"/>
          <w:szCs w:val="20"/>
        </w:rPr>
      </w:pPr>
      <w:r w:rsidRPr="00CC57AD">
        <w:rPr>
          <w:sz w:val="20"/>
          <w:szCs w:val="20"/>
        </w:rPr>
        <w:t>The most important point to note is that the changes affect only those who were not already participating in their employer’s childcare voucher scheme at 05</w:t>
      </w:r>
      <w:r w:rsidRPr="00CC57AD">
        <w:rPr>
          <w:sz w:val="20"/>
          <w:szCs w:val="20"/>
          <w:vertAlign w:val="superscript"/>
        </w:rPr>
        <w:t>th</w:t>
      </w:r>
      <w:r w:rsidRPr="00CC57AD">
        <w:rPr>
          <w:sz w:val="20"/>
          <w:szCs w:val="20"/>
        </w:rPr>
        <w:t xml:space="preserve"> April 2011. Everyone already participating by then continues to enjoy tax relief at whatever is the employee’s marginal rate, including those with a taxable income greater than £150,000 and therefore making them liable to additional rate tax at </w:t>
      </w:r>
      <w:r w:rsidR="009E2D0D" w:rsidRPr="00CC57AD">
        <w:rPr>
          <w:sz w:val="20"/>
          <w:szCs w:val="20"/>
        </w:rPr>
        <w:t>45</w:t>
      </w:r>
      <w:r w:rsidRPr="00CC57AD">
        <w:rPr>
          <w:sz w:val="20"/>
          <w:szCs w:val="20"/>
        </w:rPr>
        <w:t>%.</w:t>
      </w:r>
    </w:p>
    <w:p w:rsidR="00CC1EDA" w:rsidRPr="00CC57AD" w:rsidRDefault="00CC1EDA">
      <w:pPr>
        <w:rPr>
          <w:sz w:val="20"/>
          <w:szCs w:val="20"/>
        </w:rPr>
      </w:pPr>
    </w:p>
    <w:p w:rsidR="00CC1EDA" w:rsidRPr="00CC57AD" w:rsidRDefault="00B0739E">
      <w:pPr>
        <w:rPr>
          <w:sz w:val="20"/>
          <w:szCs w:val="20"/>
        </w:rPr>
      </w:pPr>
      <w:r w:rsidRPr="00CC57AD">
        <w:rPr>
          <w:sz w:val="20"/>
          <w:szCs w:val="20"/>
        </w:rPr>
        <w:t>New entrants to an employer’s</w:t>
      </w:r>
      <w:r w:rsidR="00F52E10" w:rsidRPr="00CC57AD">
        <w:rPr>
          <w:sz w:val="20"/>
          <w:szCs w:val="20"/>
        </w:rPr>
        <w:t xml:space="preserve"> voucher scheme on and after 6</w:t>
      </w:r>
      <w:r w:rsidR="00F52E10" w:rsidRPr="00CC57AD">
        <w:rPr>
          <w:sz w:val="20"/>
          <w:szCs w:val="20"/>
          <w:vertAlign w:val="superscript"/>
        </w:rPr>
        <w:t>th</w:t>
      </w:r>
      <w:r w:rsidR="00F52E10" w:rsidRPr="00CC57AD">
        <w:rPr>
          <w:sz w:val="20"/>
          <w:szCs w:val="20"/>
        </w:rPr>
        <w:t xml:space="preserve"> April 2011 are subjected to a reduced maximum of tax-free vouchers. The maximum is at present £243 per month. For new participants:</w:t>
      </w:r>
    </w:p>
    <w:p w:rsidR="009E2D0D" w:rsidRPr="00CC57AD" w:rsidRDefault="009E2D0D">
      <w:pPr>
        <w:rPr>
          <w:sz w:val="20"/>
          <w:szCs w:val="20"/>
        </w:rPr>
      </w:pPr>
    </w:p>
    <w:p w:rsidR="00F52E10" w:rsidRPr="00CC57AD" w:rsidRDefault="00F52E10" w:rsidP="00F52E10">
      <w:pPr>
        <w:pStyle w:val="ListParagraph"/>
        <w:numPr>
          <w:ilvl w:val="0"/>
          <w:numId w:val="1"/>
        </w:numPr>
        <w:rPr>
          <w:sz w:val="20"/>
          <w:szCs w:val="20"/>
        </w:rPr>
      </w:pPr>
      <w:r w:rsidRPr="00CC57AD">
        <w:rPr>
          <w:sz w:val="20"/>
          <w:szCs w:val="20"/>
        </w:rPr>
        <w:t>Whose estimated earnings and taxable benefits exceed the sum of the personal allowance (£1</w:t>
      </w:r>
      <w:r w:rsidR="00394FE1">
        <w:rPr>
          <w:sz w:val="20"/>
          <w:szCs w:val="20"/>
        </w:rPr>
        <w:t>1</w:t>
      </w:r>
      <w:r w:rsidRPr="00CC57AD">
        <w:rPr>
          <w:sz w:val="20"/>
          <w:szCs w:val="20"/>
        </w:rPr>
        <w:t>,</w:t>
      </w:r>
      <w:r w:rsidR="00BF4F32">
        <w:rPr>
          <w:sz w:val="20"/>
          <w:szCs w:val="20"/>
        </w:rPr>
        <w:t>85</w:t>
      </w:r>
      <w:r w:rsidRPr="00CC57AD">
        <w:rPr>
          <w:sz w:val="20"/>
          <w:szCs w:val="20"/>
        </w:rPr>
        <w:t>0 in 201</w:t>
      </w:r>
      <w:r w:rsidR="00BF4F32">
        <w:rPr>
          <w:sz w:val="20"/>
          <w:szCs w:val="20"/>
        </w:rPr>
        <w:t>8</w:t>
      </w:r>
      <w:r w:rsidRPr="00CC57AD">
        <w:rPr>
          <w:sz w:val="20"/>
          <w:szCs w:val="20"/>
        </w:rPr>
        <w:t>/201</w:t>
      </w:r>
      <w:r w:rsidR="00BF4F32">
        <w:rPr>
          <w:sz w:val="20"/>
          <w:szCs w:val="20"/>
        </w:rPr>
        <w:t>9</w:t>
      </w:r>
      <w:r w:rsidRPr="00CC57AD">
        <w:rPr>
          <w:sz w:val="20"/>
          <w:szCs w:val="20"/>
        </w:rPr>
        <w:t xml:space="preserve">) </w:t>
      </w:r>
      <w:r w:rsidR="009E2D0D" w:rsidRPr="00CC57AD">
        <w:rPr>
          <w:sz w:val="20"/>
          <w:szCs w:val="20"/>
        </w:rPr>
        <w:t>and the basic rate limit (£3</w:t>
      </w:r>
      <w:r w:rsidR="00BF4F32">
        <w:rPr>
          <w:sz w:val="20"/>
          <w:szCs w:val="20"/>
        </w:rPr>
        <w:t>4</w:t>
      </w:r>
      <w:r w:rsidR="009E2D0D" w:rsidRPr="00CC57AD">
        <w:rPr>
          <w:sz w:val="20"/>
          <w:szCs w:val="20"/>
        </w:rPr>
        <w:t>,</w:t>
      </w:r>
      <w:r w:rsidR="0073360C">
        <w:rPr>
          <w:sz w:val="20"/>
          <w:szCs w:val="20"/>
        </w:rPr>
        <w:t>5</w:t>
      </w:r>
      <w:r w:rsidR="00394FE1">
        <w:rPr>
          <w:sz w:val="20"/>
          <w:szCs w:val="20"/>
        </w:rPr>
        <w:t>00</w:t>
      </w:r>
      <w:r w:rsidR="009E2D0D" w:rsidRPr="00CC57AD">
        <w:rPr>
          <w:sz w:val="20"/>
          <w:szCs w:val="20"/>
        </w:rPr>
        <w:t xml:space="preserve"> net pay in 201</w:t>
      </w:r>
      <w:r w:rsidR="00BF4F32">
        <w:rPr>
          <w:sz w:val="20"/>
          <w:szCs w:val="20"/>
        </w:rPr>
        <w:t>8</w:t>
      </w:r>
      <w:r w:rsidR="009E2D0D" w:rsidRPr="00CC57AD">
        <w:rPr>
          <w:sz w:val="20"/>
          <w:szCs w:val="20"/>
        </w:rPr>
        <w:t>/201</w:t>
      </w:r>
      <w:r w:rsidR="00BF4F32">
        <w:rPr>
          <w:sz w:val="20"/>
          <w:szCs w:val="20"/>
        </w:rPr>
        <w:t>9</w:t>
      </w:r>
      <w:r w:rsidR="009E2D0D" w:rsidRPr="00CC57AD">
        <w:rPr>
          <w:sz w:val="20"/>
          <w:szCs w:val="20"/>
        </w:rPr>
        <w:t xml:space="preserve">) </w:t>
      </w:r>
      <w:r w:rsidRPr="00CC57AD">
        <w:rPr>
          <w:sz w:val="20"/>
          <w:szCs w:val="20"/>
        </w:rPr>
        <w:t>i.e. a total of £4</w:t>
      </w:r>
      <w:r w:rsidR="00BF4F32">
        <w:rPr>
          <w:sz w:val="20"/>
          <w:szCs w:val="20"/>
        </w:rPr>
        <w:t>6</w:t>
      </w:r>
      <w:r w:rsidR="009E2D0D" w:rsidRPr="00CC57AD">
        <w:rPr>
          <w:sz w:val="20"/>
          <w:szCs w:val="20"/>
        </w:rPr>
        <w:t>,</w:t>
      </w:r>
      <w:r w:rsidR="00BF4F32">
        <w:rPr>
          <w:sz w:val="20"/>
          <w:szCs w:val="20"/>
        </w:rPr>
        <w:t>35</w:t>
      </w:r>
      <w:r w:rsidR="00394FE1">
        <w:rPr>
          <w:sz w:val="20"/>
          <w:szCs w:val="20"/>
        </w:rPr>
        <w:t>0</w:t>
      </w:r>
      <w:r w:rsidR="009E2D0D" w:rsidRPr="00CC57AD">
        <w:rPr>
          <w:sz w:val="20"/>
          <w:szCs w:val="20"/>
        </w:rPr>
        <w:t xml:space="preserve"> gross, the maximum monthly amount in vouchers is £243.</w:t>
      </w:r>
    </w:p>
    <w:p w:rsidR="009E2D0D" w:rsidRPr="00CC57AD" w:rsidRDefault="009E2D0D" w:rsidP="00F52E10">
      <w:pPr>
        <w:pStyle w:val="ListParagraph"/>
        <w:numPr>
          <w:ilvl w:val="0"/>
          <w:numId w:val="1"/>
        </w:numPr>
        <w:rPr>
          <w:sz w:val="20"/>
          <w:szCs w:val="20"/>
        </w:rPr>
      </w:pPr>
      <w:r w:rsidRPr="00CC57AD">
        <w:rPr>
          <w:sz w:val="20"/>
          <w:szCs w:val="20"/>
        </w:rPr>
        <w:t>Whose estimated earnings and taxpayer benefits exceed the additional (45%) rate limit £150,000+, the maximum monthly amount in vouchers is £110.</w:t>
      </w:r>
    </w:p>
    <w:p w:rsidR="009E2D0D" w:rsidRPr="00CC57AD" w:rsidRDefault="009E2D0D" w:rsidP="009E2D0D">
      <w:pPr>
        <w:rPr>
          <w:sz w:val="20"/>
          <w:szCs w:val="20"/>
        </w:rPr>
      </w:pPr>
    </w:p>
    <w:p w:rsidR="00F8032F" w:rsidRPr="00CC57AD" w:rsidRDefault="00F8032F" w:rsidP="009E2D0D">
      <w:pPr>
        <w:rPr>
          <w:sz w:val="20"/>
          <w:szCs w:val="20"/>
        </w:rPr>
      </w:pPr>
      <w:r w:rsidRPr="00CC57AD">
        <w:rPr>
          <w:sz w:val="20"/>
          <w:szCs w:val="20"/>
        </w:rPr>
        <w:t>What are the 201</w:t>
      </w:r>
      <w:r w:rsidR="00BF4F32">
        <w:rPr>
          <w:sz w:val="20"/>
          <w:szCs w:val="20"/>
        </w:rPr>
        <w:t>8</w:t>
      </w:r>
      <w:r w:rsidRPr="00CC57AD">
        <w:rPr>
          <w:sz w:val="20"/>
          <w:szCs w:val="20"/>
        </w:rPr>
        <w:t>/201</w:t>
      </w:r>
      <w:r w:rsidR="00BF4F32">
        <w:rPr>
          <w:sz w:val="20"/>
          <w:szCs w:val="20"/>
        </w:rPr>
        <w:t>9</w:t>
      </w:r>
      <w:r w:rsidRPr="00CC57AD">
        <w:rPr>
          <w:sz w:val="20"/>
          <w:szCs w:val="20"/>
        </w:rPr>
        <w:t xml:space="preserve"> tax band thresholds?</w:t>
      </w:r>
    </w:p>
    <w:p w:rsidR="00F8032F" w:rsidRPr="00CC57AD" w:rsidRDefault="00F8032F" w:rsidP="009E2D0D">
      <w:pPr>
        <w:rPr>
          <w:sz w:val="20"/>
          <w:szCs w:val="20"/>
        </w:rPr>
      </w:pPr>
    </w:p>
    <w:tbl>
      <w:tblPr>
        <w:tblStyle w:val="TableGrid"/>
        <w:tblW w:w="0" w:type="auto"/>
        <w:tblLook w:val="04A0" w:firstRow="1" w:lastRow="0" w:firstColumn="1" w:lastColumn="0" w:noHBand="0" w:noVBand="1"/>
      </w:tblPr>
      <w:tblGrid>
        <w:gridCol w:w="5080"/>
        <w:gridCol w:w="3936"/>
      </w:tblGrid>
      <w:tr w:rsidR="00F8032F" w:rsidRPr="00CC57AD" w:rsidTr="0073461B">
        <w:tc>
          <w:tcPr>
            <w:tcW w:w="5211" w:type="dxa"/>
            <w:shd w:val="clear" w:color="auto" w:fill="BFBFBF" w:themeFill="background1" w:themeFillShade="BF"/>
          </w:tcPr>
          <w:p w:rsidR="00F8032F" w:rsidRPr="00CC57AD" w:rsidRDefault="00F8032F" w:rsidP="00C07236">
            <w:pPr>
              <w:rPr>
                <w:b/>
                <w:sz w:val="20"/>
                <w:szCs w:val="20"/>
              </w:rPr>
            </w:pPr>
            <w:r w:rsidRPr="00CC57AD">
              <w:rPr>
                <w:b/>
                <w:sz w:val="20"/>
                <w:szCs w:val="20"/>
              </w:rPr>
              <w:t>Annual Salary in</w:t>
            </w:r>
            <w:r w:rsidR="00394FE1">
              <w:rPr>
                <w:b/>
                <w:sz w:val="20"/>
                <w:szCs w:val="20"/>
              </w:rPr>
              <w:t>cluding Personal Allowance of £11</w:t>
            </w:r>
            <w:r w:rsidRPr="00CC57AD">
              <w:rPr>
                <w:b/>
                <w:sz w:val="20"/>
                <w:szCs w:val="20"/>
              </w:rPr>
              <w:t>,</w:t>
            </w:r>
            <w:r w:rsidR="00C07236">
              <w:rPr>
                <w:b/>
                <w:sz w:val="20"/>
                <w:szCs w:val="20"/>
              </w:rPr>
              <w:t>85</w:t>
            </w:r>
            <w:bookmarkStart w:id="0" w:name="_GoBack"/>
            <w:bookmarkEnd w:id="0"/>
            <w:r w:rsidRPr="00CC57AD">
              <w:rPr>
                <w:b/>
                <w:sz w:val="20"/>
                <w:szCs w:val="20"/>
              </w:rPr>
              <w:t>0</w:t>
            </w:r>
          </w:p>
        </w:tc>
        <w:tc>
          <w:tcPr>
            <w:tcW w:w="4031" w:type="dxa"/>
            <w:shd w:val="clear" w:color="auto" w:fill="BFBFBF" w:themeFill="background1" w:themeFillShade="BF"/>
          </w:tcPr>
          <w:p w:rsidR="00F8032F" w:rsidRPr="00CC57AD" w:rsidRDefault="00F8032F" w:rsidP="009E2D0D">
            <w:pPr>
              <w:rPr>
                <w:b/>
                <w:sz w:val="20"/>
                <w:szCs w:val="20"/>
              </w:rPr>
            </w:pPr>
            <w:r w:rsidRPr="00CC57AD">
              <w:rPr>
                <w:b/>
                <w:sz w:val="20"/>
                <w:szCs w:val="20"/>
              </w:rPr>
              <w:t>Tax Band</w:t>
            </w:r>
          </w:p>
        </w:tc>
      </w:tr>
      <w:tr w:rsidR="00F8032F" w:rsidRPr="00CC57AD" w:rsidTr="00F8032F">
        <w:tc>
          <w:tcPr>
            <w:tcW w:w="5211" w:type="dxa"/>
          </w:tcPr>
          <w:p w:rsidR="00F8032F" w:rsidRPr="00CC57AD" w:rsidRDefault="00394FE1" w:rsidP="00BF4F32">
            <w:pPr>
              <w:rPr>
                <w:sz w:val="20"/>
                <w:szCs w:val="20"/>
              </w:rPr>
            </w:pPr>
            <w:r>
              <w:rPr>
                <w:sz w:val="20"/>
                <w:szCs w:val="20"/>
              </w:rPr>
              <w:t>£1 - £4</w:t>
            </w:r>
            <w:r w:rsidR="00BF4F32">
              <w:rPr>
                <w:sz w:val="20"/>
                <w:szCs w:val="20"/>
              </w:rPr>
              <w:t>6</w:t>
            </w:r>
            <w:r>
              <w:rPr>
                <w:sz w:val="20"/>
                <w:szCs w:val="20"/>
              </w:rPr>
              <w:t>,</w:t>
            </w:r>
            <w:r w:rsidR="00BF4F32">
              <w:rPr>
                <w:sz w:val="20"/>
                <w:szCs w:val="20"/>
              </w:rPr>
              <w:t>35</w:t>
            </w:r>
            <w:r>
              <w:rPr>
                <w:sz w:val="20"/>
                <w:szCs w:val="20"/>
              </w:rPr>
              <w:t>0</w:t>
            </w:r>
          </w:p>
        </w:tc>
        <w:tc>
          <w:tcPr>
            <w:tcW w:w="4031" w:type="dxa"/>
          </w:tcPr>
          <w:p w:rsidR="00F8032F" w:rsidRPr="00CC57AD" w:rsidRDefault="00F8032F" w:rsidP="009E2D0D">
            <w:pPr>
              <w:rPr>
                <w:sz w:val="20"/>
                <w:szCs w:val="20"/>
              </w:rPr>
            </w:pPr>
            <w:r w:rsidRPr="00CC57AD">
              <w:rPr>
                <w:sz w:val="20"/>
                <w:szCs w:val="20"/>
              </w:rPr>
              <w:t xml:space="preserve">Basic Rate </w:t>
            </w:r>
          </w:p>
        </w:tc>
      </w:tr>
      <w:tr w:rsidR="00F8032F" w:rsidRPr="00CC57AD" w:rsidTr="00F8032F">
        <w:tc>
          <w:tcPr>
            <w:tcW w:w="5211" w:type="dxa"/>
          </w:tcPr>
          <w:p w:rsidR="00F8032F" w:rsidRPr="00CC57AD" w:rsidRDefault="00394FE1" w:rsidP="00BF4F32">
            <w:pPr>
              <w:rPr>
                <w:sz w:val="20"/>
                <w:szCs w:val="20"/>
              </w:rPr>
            </w:pPr>
            <w:r>
              <w:rPr>
                <w:sz w:val="20"/>
                <w:szCs w:val="20"/>
              </w:rPr>
              <w:t>£4</w:t>
            </w:r>
            <w:r w:rsidR="00BF4F32">
              <w:rPr>
                <w:sz w:val="20"/>
                <w:szCs w:val="20"/>
              </w:rPr>
              <w:t>6</w:t>
            </w:r>
            <w:r>
              <w:rPr>
                <w:sz w:val="20"/>
                <w:szCs w:val="20"/>
              </w:rPr>
              <w:t>,</w:t>
            </w:r>
            <w:r w:rsidR="00BF4F32">
              <w:rPr>
                <w:sz w:val="20"/>
                <w:szCs w:val="20"/>
              </w:rPr>
              <w:t>35</w:t>
            </w:r>
            <w:r>
              <w:rPr>
                <w:sz w:val="20"/>
                <w:szCs w:val="20"/>
              </w:rPr>
              <w:t>1</w:t>
            </w:r>
            <w:r w:rsidR="00F8032F" w:rsidRPr="00CC57AD">
              <w:rPr>
                <w:sz w:val="20"/>
                <w:szCs w:val="20"/>
              </w:rPr>
              <w:t xml:space="preserve"> - £149,999</w:t>
            </w:r>
          </w:p>
        </w:tc>
        <w:tc>
          <w:tcPr>
            <w:tcW w:w="4031" w:type="dxa"/>
          </w:tcPr>
          <w:p w:rsidR="00F8032F" w:rsidRPr="00CC57AD" w:rsidRDefault="00F8032F" w:rsidP="009E2D0D">
            <w:pPr>
              <w:rPr>
                <w:sz w:val="20"/>
                <w:szCs w:val="20"/>
              </w:rPr>
            </w:pPr>
            <w:r w:rsidRPr="00CC57AD">
              <w:rPr>
                <w:sz w:val="20"/>
                <w:szCs w:val="20"/>
              </w:rPr>
              <w:t>Higher Rate</w:t>
            </w:r>
          </w:p>
        </w:tc>
      </w:tr>
      <w:tr w:rsidR="00F8032F" w:rsidRPr="00CC57AD" w:rsidTr="00F8032F">
        <w:tc>
          <w:tcPr>
            <w:tcW w:w="5211" w:type="dxa"/>
          </w:tcPr>
          <w:p w:rsidR="00F8032F" w:rsidRPr="00CC57AD" w:rsidRDefault="00F8032F" w:rsidP="009E2D0D">
            <w:pPr>
              <w:rPr>
                <w:sz w:val="20"/>
                <w:szCs w:val="20"/>
              </w:rPr>
            </w:pPr>
            <w:r w:rsidRPr="00CC57AD">
              <w:rPr>
                <w:sz w:val="20"/>
                <w:szCs w:val="20"/>
              </w:rPr>
              <w:t>£150,000+</w:t>
            </w:r>
          </w:p>
        </w:tc>
        <w:tc>
          <w:tcPr>
            <w:tcW w:w="4031" w:type="dxa"/>
          </w:tcPr>
          <w:p w:rsidR="00F8032F" w:rsidRPr="00CC57AD" w:rsidRDefault="00F8032F" w:rsidP="009E2D0D">
            <w:pPr>
              <w:rPr>
                <w:sz w:val="20"/>
                <w:szCs w:val="20"/>
              </w:rPr>
            </w:pPr>
            <w:r w:rsidRPr="00CC57AD">
              <w:rPr>
                <w:sz w:val="20"/>
                <w:szCs w:val="20"/>
              </w:rPr>
              <w:t>Additional Rate</w:t>
            </w:r>
          </w:p>
        </w:tc>
      </w:tr>
    </w:tbl>
    <w:p w:rsidR="00F8032F" w:rsidRPr="00CC57AD" w:rsidRDefault="00F8032F" w:rsidP="009E2D0D">
      <w:pPr>
        <w:rPr>
          <w:sz w:val="20"/>
          <w:szCs w:val="20"/>
        </w:rPr>
      </w:pPr>
    </w:p>
    <w:p w:rsidR="00AB5217" w:rsidRPr="00CC57AD" w:rsidRDefault="00106165" w:rsidP="009E2D0D">
      <w:pPr>
        <w:rPr>
          <w:sz w:val="20"/>
          <w:szCs w:val="20"/>
        </w:rPr>
      </w:pPr>
      <w:r w:rsidRPr="00CC57AD">
        <w:rPr>
          <w:sz w:val="20"/>
          <w:szCs w:val="20"/>
        </w:rPr>
        <w:t>The following is the calculation to determine what tax payer you are for the benefit of Childcare Vouchers:</w:t>
      </w:r>
    </w:p>
    <w:p w:rsidR="00106165" w:rsidRPr="00CC57AD" w:rsidRDefault="00106165" w:rsidP="009E2D0D">
      <w:pPr>
        <w:rPr>
          <w:sz w:val="20"/>
          <w:szCs w:val="20"/>
        </w:rPr>
      </w:pPr>
    </w:p>
    <w:p w:rsidR="00106165" w:rsidRPr="00CC57AD" w:rsidRDefault="00106165" w:rsidP="00933592">
      <w:pPr>
        <w:jc w:val="center"/>
        <w:rPr>
          <w:b/>
          <w:sz w:val="20"/>
          <w:szCs w:val="20"/>
        </w:rPr>
      </w:pPr>
      <w:r w:rsidRPr="00CC57AD">
        <w:rPr>
          <w:b/>
          <w:sz w:val="20"/>
          <w:szCs w:val="20"/>
        </w:rPr>
        <w:t xml:space="preserve">Annual </w:t>
      </w:r>
      <w:r w:rsidR="004716FB">
        <w:rPr>
          <w:b/>
          <w:sz w:val="20"/>
          <w:szCs w:val="20"/>
        </w:rPr>
        <w:t xml:space="preserve">Gross </w:t>
      </w:r>
      <w:r w:rsidRPr="00CC57AD">
        <w:rPr>
          <w:b/>
          <w:sz w:val="20"/>
          <w:szCs w:val="20"/>
        </w:rPr>
        <w:t>salary</w:t>
      </w:r>
      <w:r w:rsidR="004716FB">
        <w:rPr>
          <w:b/>
          <w:sz w:val="20"/>
          <w:szCs w:val="20"/>
        </w:rPr>
        <w:t xml:space="preserve"> with all contractual guaranteed allowances</w:t>
      </w:r>
      <w:r w:rsidRPr="00CC57AD">
        <w:rPr>
          <w:b/>
          <w:sz w:val="20"/>
          <w:szCs w:val="20"/>
        </w:rPr>
        <w:t xml:space="preserve"> minus </w:t>
      </w:r>
      <w:r w:rsidR="004716FB">
        <w:rPr>
          <w:b/>
          <w:sz w:val="20"/>
          <w:szCs w:val="20"/>
        </w:rPr>
        <w:t>any Salary Sacrifice arrangement</w:t>
      </w:r>
      <w:r w:rsidR="00933592" w:rsidRPr="00CC57AD">
        <w:rPr>
          <w:b/>
          <w:sz w:val="20"/>
          <w:szCs w:val="20"/>
        </w:rPr>
        <w:t xml:space="preserve"> = taxable pay</w:t>
      </w:r>
      <w:r w:rsidR="0073360C">
        <w:rPr>
          <w:b/>
          <w:sz w:val="20"/>
          <w:szCs w:val="20"/>
        </w:rPr>
        <w:t xml:space="preserve"> (Pre CCV reduction)</w:t>
      </w:r>
    </w:p>
    <w:p w:rsidR="00106165" w:rsidRPr="00CC57AD" w:rsidRDefault="00933592" w:rsidP="00933592">
      <w:pPr>
        <w:jc w:val="center"/>
        <w:rPr>
          <w:b/>
          <w:i/>
          <w:sz w:val="20"/>
          <w:szCs w:val="20"/>
          <w:u w:val="single"/>
        </w:rPr>
      </w:pPr>
      <w:proofErr w:type="gramStart"/>
      <w:r w:rsidRPr="00CC57AD">
        <w:rPr>
          <w:b/>
          <w:i/>
          <w:sz w:val="20"/>
          <w:szCs w:val="20"/>
          <w:u w:val="single"/>
        </w:rPr>
        <w:t>then</w:t>
      </w:r>
      <w:proofErr w:type="gramEnd"/>
    </w:p>
    <w:p w:rsidR="00933592" w:rsidRPr="00CC57AD" w:rsidRDefault="00933592" w:rsidP="00933592">
      <w:pPr>
        <w:jc w:val="center"/>
        <w:rPr>
          <w:b/>
          <w:sz w:val="20"/>
          <w:szCs w:val="20"/>
        </w:rPr>
      </w:pPr>
      <w:r w:rsidRPr="00CC57AD">
        <w:rPr>
          <w:b/>
          <w:sz w:val="20"/>
          <w:szCs w:val="20"/>
        </w:rPr>
        <w:t>Taxable pay minus forecasted amount of childcare vouchers for the financial year</w:t>
      </w:r>
    </w:p>
    <w:p w:rsidR="00933592" w:rsidRDefault="00933592" w:rsidP="00933592">
      <w:pPr>
        <w:jc w:val="center"/>
        <w:rPr>
          <w:sz w:val="20"/>
          <w:szCs w:val="20"/>
        </w:rPr>
      </w:pPr>
    </w:p>
    <w:p w:rsidR="00CC57AD" w:rsidRPr="00CC57AD" w:rsidRDefault="00CC57AD" w:rsidP="00933592">
      <w:pPr>
        <w:jc w:val="center"/>
        <w:rPr>
          <w:sz w:val="20"/>
          <w:szCs w:val="20"/>
        </w:rPr>
      </w:pPr>
    </w:p>
    <w:p w:rsidR="00933592" w:rsidRPr="00CC57AD" w:rsidRDefault="00933592" w:rsidP="00933592">
      <w:pPr>
        <w:rPr>
          <w:sz w:val="20"/>
          <w:szCs w:val="20"/>
        </w:rPr>
      </w:pPr>
      <w:r w:rsidRPr="00CC57AD">
        <w:rPr>
          <w:b/>
          <w:sz w:val="20"/>
          <w:szCs w:val="20"/>
        </w:rPr>
        <w:t>Example 1</w:t>
      </w:r>
      <w:r w:rsidRPr="00CC57AD">
        <w:rPr>
          <w:sz w:val="20"/>
          <w:szCs w:val="20"/>
        </w:rPr>
        <w:t xml:space="preserve"> – based upon a salary of £43,000 with 7 months remaining in the financial year</w:t>
      </w:r>
    </w:p>
    <w:p w:rsidR="00933592" w:rsidRPr="00CC57AD" w:rsidRDefault="00933592" w:rsidP="00933592">
      <w:pPr>
        <w:rPr>
          <w:sz w:val="20"/>
          <w:szCs w:val="20"/>
        </w:rPr>
      </w:pPr>
      <w:r w:rsidRPr="00CC57AD">
        <w:rPr>
          <w:sz w:val="20"/>
          <w:szCs w:val="20"/>
        </w:rPr>
        <w:t>Annual Salary</w:t>
      </w:r>
      <w:r w:rsidR="00CC57AD" w:rsidRPr="00CC57AD">
        <w:rPr>
          <w:sz w:val="20"/>
          <w:szCs w:val="20"/>
        </w:rPr>
        <w:tab/>
      </w:r>
      <w:r w:rsidR="00CC57AD" w:rsidRPr="00CC57AD">
        <w:rPr>
          <w:sz w:val="20"/>
          <w:szCs w:val="20"/>
        </w:rPr>
        <w:tab/>
      </w:r>
      <w:r w:rsidR="00CC57AD" w:rsidRPr="00CC57AD">
        <w:rPr>
          <w:sz w:val="20"/>
          <w:szCs w:val="20"/>
        </w:rPr>
        <w:tab/>
        <w:t>£43,000</w:t>
      </w:r>
    </w:p>
    <w:p w:rsidR="00933592" w:rsidRPr="00CC57AD" w:rsidRDefault="00933592" w:rsidP="00933592">
      <w:pPr>
        <w:rPr>
          <w:sz w:val="20"/>
          <w:szCs w:val="20"/>
        </w:rPr>
      </w:pPr>
      <w:r w:rsidRPr="00CC57AD">
        <w:rPr>
          <w:sz w:val="20"/>
          <w:szCs w:val="20"/>
        </w:rPr>
        <w:t xml:space="preserve">7 months </w:t>
      </w:r>
      <w:r w:rsidR="00CC57AD" w:rsidRPr="00CC57AD">
        <w:rPr>
          <w:sz w:val="20"/>
          <w:szCs w:val="20"/>
        </w:rPr>
        <w:t>@ £243</w:t>
      </w:r>
      <w:r w:rsidR="00CC57AD" w:rsidRPr="00CC57AD">
        <w:rPr>
          <w:sz w:val="20"/>
          <w:szCs w:val="20"/>
        </w:rPr>
        <w:tab/>
      </w:r>
      <w:r w:rsidR="00CC57AD" w:rsidRPr="00CC57AD">
        <w:rPr>
          <w:sz w:val="20"/>
          <w:szCs w:val="20"/>
        </w:rPr>
        <w:tab/>
        <w:t>£1,701</w:t>
      </w:r>
    </w:p>
    <w:p w:rsidR="00CC57AD" w:rsidRPr="00CC57AD" w:rsidRDefault="0073360C" w:rsidP="00933592">
      <w:pPr>
        <w:rPr>
          <w:sz w:val="20"/>
          <w:szCs w:val="20"/>
        </w:rPr>
      </w:pPr>
      <w:r>
        <w:rPr>
          <w:sz w:val="20"/>
          <w:szCs w:val="20"/>
        </w:rPr>
        <w:t>Taxable Pay</w:t>
      </w:r>
      <w:r>
        <w:rPr>
          <w:sz w:val="20"/>
          <w:szCs w:val="20"/>
        </w:rPr>
        <w:tab/>
      </w:r>
      <w:r>
        <w:rPr>
          <w:sz w:val="20"/>
          <w:szCs w:val="20"/>
        </w:rPr>
        <w:tab/>
      </w:r>
      <w:r>
        <w:rPr>
          <w:sz w:val="20"/>
          <w:szCs w:val="20"/>
        </w:rPr>
        <w:tab/>
        <w:t>£</w:t>
      </w:r>
      <w:r w:rsidR="004716FB">
        <w:rPr>
          <w:sz w:val="20"/>
          <w:szCs w:val="20"/>
        </w:rPr>
        <w:t>41,299</w:t>
      </w:r>
    </w:p>
    <w:p w:rsidR="00CC57AD" w:rsidRPr="00CC57AD" w:rsidRDefault="00CC57AD" w:rsidP="00933592">
      <w:pPr>
        <w:rPr>
          <w:sz w:val="20"/>
          <w:szCs w:val="20"/>
        </w:rPr>
      </w:pPr>
      <w:r w:rsidRPr="00CC57AD">
        <w:rPr>
          <w:sz w:val="20"/>
          <w:szCs w:val="20"/>
        </w:rPr>
        <w:t>Tax Payer Band</w:t>
      </w:r>
      <w:r w:rsidRPr="00CC57AD">
        <w:rPr>
          <w:sz w:val="20"/>
          <w:szCs w:val="20"/>
        </w:rPr>
        <w:tab/>
      </w:r>
      <w:r w:rsidRPr="00CC57AD">
        <w:rPr>
          <w:sz w:val="20"/>
          <w:szCs w:val="20"/>
        </w:rPr>
        <w:tab/>
      </w:r>
      <w:r w:rsidRPr="00CC57AD">
        <w:rPr>
          <w:sz w:val="20"/>
          <w:szCs w:val="20"/>
        </w:rPr>
        <w:tab/>
        <w:t>Basic Rate Taxpayer</w:t>
      </w:r>
    </w:p>
    <w:p w:rsidR="00CC57AD" w:rsidRPr="00CC57AD" w:rsidRDefault="00CC57AD" w:rsidP="00933592">
      <w:pPr>
        <w:rPr>
          <w:sz w:val="20"/>
          <w:szCs w:val="20"/>
        </w:rPr>
      </w:pPr>
    </w:p>
    <w:p w:rsidR="00CC57AD" w:rsidRPr="00CC57AD" w:rsidRDefault="00CC57AD" w:rsidP="00CC57AD">
      <w:pPr>
        <w:rPr>
          <w:sz w:val="20"/>
          <w:szCs w:val="20"/>
        </w:rPr>
      </w:pPr>
      <w:r w:rsidRPr="00CC57AD">
        <w:rPr>
          <w:b/>
          <w:sz w:val="20"/>
          <w:szCs w:val="20"/>
        </w:rPr>
        <w:t>Example 2</w:t>
      </w:r>
      <w:r w:rsidRPr="00CC57AD">
        <w:rPr>
          <w:sz w:val="20"/>
          <w:szCs w:val="20"/>
        </w:rPr>
        <w:t xml:space="preserve"> - based </w:t>
      </w:r>
      <w:r>
        <w:rPr>
          <w:sz w:val="20"/>
          <w:szCs w:val="20"/>
        </w:rPr>
        <w:t>upon a salary of £60</w:t>
      </w:r>
      <w:r w:rsidRPr="00CC57AD">
        <w:rPr>
          <w:sz w:val="20"/>
          <w:szCs w:val="20"/>
        </w:rPr>
        <w:t>,000 with 7 months remaining in the financial year</w:t>
      </w:r>
    </w:p>
    <w:p w:rsidR="00CC57AD" w:rsidRPr="00CC57AD" w:rsidRDefault="00CC57AD" w:rsidP="00CC57AD">
      <w:pPr>
        <w:rPr>
          <w:sz w:val="20"/>
          <w:szCs w:val="20"/>
        </w:rPr>
      </w:pPr>
      <w:r w:rsidRPr="00CC57AD">
        <w:rPr>
          <w:sz w:val="20"/>
          <w:szCs w:val="20"/>
        </w:rPr>
        <w:t>Annual Salary</w:t>
      </w:r>
      <w:r w:rsidRPr="00CC57AD">
        <w:rPr>
          <w:sz w:val="20"/>
          <w:szCs w:val="20"/>
        </w:rPr>
        <w:tab/>
      </w:r>
      <w:r w:rsidRPr="00CC57AD">
        <w:rPr>
          <w:sz w:val="20"/>
          <w:szCs w:val="20"/>
        </w:rPr>
        <w:tab/>
      </w:r>
      <w:r w:rsidRPr="00CC57AD">
        <w:rPr>
          <w:sz w:val="20"/>
          <w:szCs w:val="20"/>
        </w:rPr>
        <w:tab/>
        <w:t>£</w:t>
      </w:r>
      <w:r>
        <w:rPr>
          <w:sz w:val="20"/>
          <w:szCs w:val="20"/>
        </w:rPr>
        <w:t>60</w:t>
      </w:r>
      <w:r w:rsidRPr="00CC57AD">
        <w:rPr>
          <w:sz w:val="20"/>
          <w:szCs w:val="20"/>
        </w:rPr>
        <w:t>,000</w:t>
      </w:r>
    </w:p>
    <w:p w:rsidR="0073360C" w:rsidRDefault="0073360C" w:rsidP="00CC57AD">
      <w:pPr>
        <w:rPr>
          <w:sz w:val="20"/>
          <w:szCs w:val="20"/>
        </w:rPr>
      </w:pPr>
      <w:r>
        <w:rPr>
          <w:sz w:val="20"/>
          <w:szCs w:val="20"/>
        </w:rPr>
        <w:t>7 months @ £124</w:t>
      </w:r>
      <w:r>
        <w:rPr>
          <w:sz w:val="20"/>
          <w:szCs w:val="20"/>
        </w:rPr>
        <w:tab/>
      </w:r>
      <w:r>
        <w:rPr>
          <w:sz w:val="20"/>
          <w:szCs w:val="20"/>
        </w:rPr>
        <w:tab/>
        <w:t>£868</w:t>
      </w:r>
    </w:p>
    <w:p w:rsidR="00CC57AD" w:rsidRPr="00CC57AD" w:rsidRDefault="00CC57AD" w:rsidP="00CC57AD">
      <w:pPr>
        <w:rPr>
          <w:sz w:val="20"/>
          <w:szCs w:val="20"/>
        </w:rPr>
      </w:pPr>
      <w:r w:rsidRPr="00CC57AD">
        <w:rPr>
          <w:sz w:val="20"/>
          <w:szCs w:val="20"/>
        </w:rPr>
        <w:t>Taxable Pay</w:t>
      </w:r>
      <w:r w:rsidRPr="00CC57AD">
        <w:rPr>
          <w:sz w:val="20"/>
          <w:szCs w:val="20"/>
        </w:rPr>
        <w:tab/>
      </w:r>
      <w:r w:rsidRPr="00CC57AD">
        <w:rPr>
          <w:sz w:val="20"/>
          <w:szCs w:val="20"/>
        </w:rPr>
        <w:tab/>
      </w:r>
      <w:r w:rsidRPr="00CC57AD">
        <w:rPr>
          <w:sz w:val="20"/>
          <w:szCs w:val="20"/>
        </w:rPr>
        <w:tab/>
        <w:t>£</w:t>
      </w:r>
      <w:r w:rsidR="004716FB">
        <w:rPr>
          <w:sz w:val="20"/>
          <w:szCs w:val="20"/>
        </w:rPr>
        <w:t>59,132</w:t>
      </w:r>
    </w:p>
    <w:p w:rsidR="00CC57AD" w:rsidRDefault="00CC57AD" w:rsidP="00CC57AD">
      <w:pPr>
        <w:rPr>
          <w:sz w:val="20"/>
          <w:szCs w:val="20"/>
        </w:rPr>
      </w:pPr>
      <w:r w:rsidRPr="00CC57AD">
        <w:rPr>
          <w:sz w:val="20"/>
          <w:szCs w:val="20"/>
        </w:rPr>
        <w:t>Tax Payer Band</w:t>
      </w:r>
      <w:r w:rsidRPr="00CC57AD">
        <w:rPr>
          <w:sz w:val="20"/>
          <w:szCs w:val="20"/>
        </w:rPr>
        <w:tab/>
      </w:r>
      <w:r w:rsidRPr="00CC57AD">
        <w:rPr>
          <w:sz w:val="20"/>
          <w:szCs w:val="20"/>
        </w:rPr>
        <w:tab/>
      </w:r>
      <w:r w:rsidRPr="00CC57AD">
        <w:rPr>
          <w:sz w:val="20"/>
          <w:szCs w:val="20"/>
        </w:rPr>
        <w:tab/>
      </w:r>
      <w:r>
        <w:rPr>
          <w:sz w:val="20"/>
          <w:szCs w:val="20"/>
        </w:rPr>
        <w:t>Higher</w:t>
      </w:r>
      <w:r w:rsidRPr="00CC57AD">
        <w:rPr>
          <w:sz w:val="20"/>
          <w:szCs w:val="20"/>
        </w:rPr>
        <w:t xml:space="preserve"> Rate Taxpayer</w:t>
      </w:r>
    </w:p>
    <w:p w:rsidR="004716FB" w:rsidRDefault="004716FB" w:rsidP="00CC57AD">
      <w:pPr>
        <w:rPr>
          <w:sz w:val="20"/>
          <w:szCs w:val="20"/>
        </w:rPr>
      </w:pPr>
    </w:p>
    <w:p w:rsidR="00CE3934" w:rsidRDefault="00CE3934" w:rsidP="00CC57AD">
      <w:pPr>
        <w:rPr>
          <w:sz w:val="20"/>
          <w:szCs w:val="20"/>
        </w:rPr>
      </w:pPr>
      <w:r>
        <w:rPr>
          <w:sz w:val="20"/>
          <w:szCs w:val="20"/>
        </w:rPr>
        <w:t xml:space="preserve">In addition when completing the basic earnings assessment an employer must ensure that the level of earnings that the employee has available for taxable pay must leave them with an hourly rate above the National Living wage or National Minimum wage. The wage levels are advised by </w:t>
      </w:r>
      <w:r w:rsidR="0017156A">
        <w:rPr>
          <w:sz w:val="20"/>
          <w:szCs w:val="20"/>
        </w:rPr>
        <w:t>the Government and any confirmed changes will require for the employer to complete a further assessment if the new rate would take the employee below the earning thresholds. We have provided a table below to highlight the advised Government levels for employees’ wages levels due to the employee’s age.</w:t>
      </w:r>
    </w:p>
    <w:p w:rsidR="0091083C" w:rsidRDefault="0091083C" w:rsidP="00CC57AD">
      <w:pPr>
        <w:rPr>
          <w:sz w:val="20"/>
          <w:szCs w:val="20"/>
        </w:rPr>
      </w:pPr>
      <w:r>
        <w:rPr>
          <w:sz w:val="20"/>
          <w:szCs w:val="20"/>
        </w:rPr>
        <w:lastRenderedPageBreak/>
        <w:t>If the employees after calculating the rate stays above the wage levels then they can receive the requested childcare vouchers. If however the employee now falls below these levels then the employee would need to reduce the salary sacrifice amount until such point that they are above the wage level limit.</w:t>
      </w:r>
    </w:p>
    <w:p w:rsidR="00CE3934" w:rsidRDefault="00CE3934" w:rsidP="00CC57AD">
      <w:pPr>
        <w:rPr>
          <w:sz w:val="20"/>
          <w:szCs w:val="20"/>
        </w:rPr>
      </w:pPr>
    </w:p>
    <w:p w:rsidR="00CE3934" w:rsidRDefault="00CE3934" w:rsidP="00CC57AD">
      <w:pPr>
        <w:rPr>
          <w:sz w:val="20"/>
          <w:szCs w:val="20"/>
        </w:rPr>
      </w:pPr>
    </w:p>
    <w:tbl>
      <w:tblPr>
        <w:tblStyle w:val="TableGrid"/>
        <w:tblW w:w="0" w:type="auto"/>
        <w:tblLook w:val="04A0" w:firstRow="1" w:lastRow="0" w:firstColumn="1" w:lastColumn="0" w:noHBand="0" w:noVBand="1"/>
      </w:tblPr>
      <w:tblGrid>
        <w:gridCol w:w="1571"/>
        <w:gridCol w:w="1496"/>
        <w:gridCol w:w="1504"/>
        <w:gridCol w:w="1504"/>
        <w:gridCol w:w="1520"/>
        <w:gridCol w:w="1421"/>
      </w:tblGrid>
      <w:tr w:rsidR="00CE3934" w:rsidTr="00671DB3">
        <w:tc>
          <w:tcPr>
            <w:tcW w:w="9242" w:type="dxa"/>
            <w:gridSpan w:val="6"/>
          </w:tcPr>
          <w:p w:rsidR="00CE3934" w:rsidRDefault="00CE3934" w:rsidP="00CC57AD">
            <w:pPr>
              <w:rPr>
                <w:sz w:val="20"/>
                <w:szCs w:val="20"/>
              </w:rPr>
            </w:pPr>
            <w:r>
              <w:rPr>
                <w:sz w:val="20"/>
                <w:szCs w:val="20"/>
              </w:rPr>
              <w:t>National Living Wage for any employee working over the age of 25 years of age and National Minimum age for under 25 years of age</w:t>
            </w:r>
          </w:p>
        </w:tc>
      </w:tr>
      <w:tr w:rsidR="00CE3934" w:rsidTr="00CE3934">
        <w:tc>
          <w:tcPr>
            <w:tcW w:w="1608" w:type="dxa"/>
          </w:tcPr>
          <w:p w:rsidR="00CE3934" w:rsidRDefault="00CE3934" w:rsidP="00CC57AD">
            <w:pPr>
              <w:rPr>
                <w:sz w:val="20"/>
                <w:szCs w:val="20"/>
              </w:rPr>
            </w:pPr>
            <w:r>
              <w:rPr>
                <w:sz w:val="20"/>
                <w:szCs w:val="20"/>
              </w:rPr>
              <w:t>Date of rate changes</w:t>
            </w:r>
          </w:p>
        </w:tc>
        <w:tc>
          <w:tcPr>
            <w:tcW w:w="1539" w:type="dxa"/>
          </w:tcPr>
          <w:p w:rsidR="00CE3934" w:rsidRDefault="00CE3934" w:rsidP="00CC57AD">
            <w:pPr>
              <w:rPr>
                <w:sz w:val="20"/>
                <w:szCs w:val="20"/>
              </w:rPr>
            </w:pPr>
            <w:r>
              <w:rPr>
                <w:sz w:val="20"/>
                <w:szCs w:val="20"/>
              </w:rPr>
              <w:t>25 and Over</w:t>
            </w:r>
          </w:p>
        </w:tc>
        <w:tc>
          <w:tcPr>
            <w:tcW w:w="1548" w:type="dxa"/>
          </w:tcPr>
          <w:p w:rsidR="00CE3934" w:rsidRDefault="00CE3934" w:rsidP="00CC57AD">
            <w:pPr>
              <w:rPr>
                <w:sz w:val="20"/>
                <w:szCs w:val="20"/>
              </w:rPr>
            </w:pPr>
            <w:r>
              <w:rPr>
                <w:sz w:val="20"/>
                <w:szCs w:val="20"/>
              </w:rPr>
              <w:t>21 to 24 years of age</w:t>
            </w:r>
          </w:p>
        </w:tc>
        <w:tc>
          <w:tcPr>
            <w:tcW w:w="1548" w:type="dxa"/>
          </w:tcPr>
          <w:p w:rsidR="00CE3934" w:rsidRDefault="00CE3934" w:rsidP="00CC57AD">
            <w:pPr>
              <w:rPr>
                <w:sz w:val="20"/>
                <w:szCs w:val="20"/>
              </w:rPr>
            </w:pPr>
            <w:r>
              <w:rPr>
                <w:sz w:val="20"/>
                <w:szCs w:val="20"/>
              </w:rPr>
              <w:t>18 to 20 years of age</w:t>
            </w:r>
          </w:p>
        </w:tc>
        <w:tc>
          <w:tcPr>
            <w:tcW w:w="1562" w:type="dxa"/>
          </w:tcPr>
          <w:p w:rsidR="00CE3934" w:rsidRDefault="00CE3934" w:rsidP="00CC57AD">
            <w:pPr>
              <w:rPr>
                <w:sz w:val="20"/>
                <w:szCs w:val="20"/>
              </w:rPr>
            </w:pPr>
            <w:r>
              <w:rPr>
                <w:sz w:val="20"/>
                <w:szCs w:val="20"/>
              </w:rPr>
              <w:t>Under 18</w:t>
            </w:r>
          </w:p>
        </w:tc>
        <w:tc>
          <w:tcPr>
            <w:tcW w:w="1437" w:type="dxa"/>
          </w:tcPr>
          <w:p w:rsidR="00CE3934" w:rsidRDefault="00CE3934" w:rsidP="00CC57AD">
            <w:pPr>
              <w:rPr>
                <w:sz w:val="20"/>
                <w:szCs w:val="20"/>
              </w:rPr>
            </w:pPr>
            <w:r>
              <w:rPr>
                <w:sz w:val="20"/>
                <w:szCs w:val="20"/>
              </w:rPr>
              <w:t>Apprentice</w:t>
            </w:r>
          </w:p>
        </w:tc>
      </w:tr>
      <w:tr w:rsidR="00CE3934" w:rsidTr="00CE3934">
        <w:tc>
          <w:tcPr>
            <w:tcW w:w="1608" w:type="dxa"/>
          </w:tcPr>
          <w:p w:rsidR="00CE3934" w:rsidRDefault="00BF4F32" w:rsidP="00CC57AD">
            <w:pPr>
              <w:rPr>
                <w:sz w:val="20"/>
                <w:szCs w:val="20"/>
              </w:rPr>
            </w:pPr>
            <w:r>
              <w:rPr>
                <w:sz w:val="20"/>
                <w:szCs w:val="20"/>
              </w:rPr>
              <w:t>April 2018</w:t>
            </w:r>
          </w:p>
        </w:tc>
        <w:tc>
          <w:tcPr>
            <w:tcW w:w="1539" w:type="dxa"/>
          </w:tcPr>
          <w:p w:rsidR="00CE3934" w:rsidRDefault="00CE3934" w:rsidP="00BF4F32">
            <w:pPr>
              <w:jc w:val="center"/>
              <w:rPr>
                <w:sz w:val="20"/>
                <w:szCs w:val="20"/>
              </w:rPr>
            </w:pPr>
            <w:r>
              <w:rPr>
                <w:sz w:val="20"/>
                <w:szCs w:val="20"/>
              </w:rPr>
              <w:t>£7.</w:t>
            </w:r>
            <w:r w:rsidR="00BF4F32">
              <w:rPr>
                <w:sz w:val="20"/>
                <w:szCs w:val="20"/>
              </w:rPr>
              <w:t>83</w:t>
            </w:r>
          </w:p>
        </w:tc>
        <w:tc>
          <w:tcPr>
            <w:tcW w:w="1548" w:type="dxa"/>
          </w:tcPr>
          <w:p w:rsidR="00CE3934" w:rsidRDefault="00CE3934" w:rsidP="00BF4F32">
            <w:pPr>
              <w:jc w:val="center"/>
              <w:rPr>
                <w:sz w:val="20"/>
                <w:szCs w:val="20"/>
              </w:rPr>
            </w:pPr>
            <w:r>
              <w:rPr>
                <w:sz w:val="20"/>
                <w:szCs w:val="20"/>
              </w:rPr>
              <w:t>£7.</w:t>
            </w:r>
            <w:r w:rsidR="00BF4F32">
              <w:rPr>
                <w:sz w:val="20"/>
                <w:szCs w:val="20"/>
              </w:rPr>
              <w:t>38</w:t>
            </w:r>
          </w:p>
        </w:tc>
        <w:tc>
          <w:tcPr>
            <w:tcW w:w="1548" w:type="dxa"/>
          </w:tcPr>
          <w:p w:rsidR="00CE3934" w:rsidRDefault="00CE3934" w:rsidP="00BF4F32">
            <w:pPr>
              <w:jc w:val="center"/>
              <w:rPr>
                <w:sz w:val="20"/>
                <w:szCs w:val="20"/>
              </w:rPr>
            </w:pPr>
            <w:r>
              <w:rPr>
                <w:sz w:val="20"/>
                <w:szCs w:val="20"/>
              </w:rPr>
              <w:t>£5.</w:t>
            </w:r>
            <w:r w:rsidR="00BF4F32">
              <w:rPr>
                <w:sz w:val="20"/>
                <w:szCs w:val="20"/>
              </w:rPr>
              <w:t>9</w:t>
            </w:r>
            <w:r>
              <w:rPr>
                <w:sz w:val="20"/>
                <w:szCs w:val="20"/>
              </w:rPr>
              <w:t>0</w:t>
            </w:r>
          </w:p>
        </w:tc>
        <w:tc>
          <w:tcPr>
            <w:tcW w:w="1562" w:type="dxa"/>
          </w:tcPr>
          <w:p w:rsidR="00CE3934" w:rsidRDefault="00CE3934" w:rsidP="00BF4F32">
            <w:pPr>
              <w:jc w:val="center"/>
              <w:rPr>
                <w:sz w:val="20"/>
                <w:szCs w:val="20"/>
              </w:rPr>
            </w:pPr>
            <w:r>
              <w:rPr>
                <w:sz w:val="20"/>
                <w:szCs w:val="20"/>
              </w:rPr>
              <w:t>£4.</w:t>
            </w:r>
            <w:r w:rsidR="00BF4F32">
              <w:rPr>
                <w:sz w:val="20"/>
                <w:szCs w:val="20"/>
              </w:rPr>
              <w:t>20</w:t>
            </w:r>
          </w:p>
        </w:tc>
        <w:tc>
          <w:tcPr>
            <w:tcW w:w="1437" w:type="dxa"/>
          </w:tcPr>
          <w:p w:rsidR="00CE3934" w:rsidRDefault="00CE3934" w:rsidP="00BF4F32">
            <w:pPr>
              <w:jc w:val="center"/>
              <w:rPr>
                <w:sz w:val="20"/>
                <w:szCs w:val="20"/>
              </w:rPr>
            </w:pPr>
            <w:r>
              <w:rPr>
                <w:sz w:val="20"/>
                <w:szCs w:val="20"/>
              </w:rPr>
              <w:t>£3.</w:t>
            </w:r>
            <w:r w:rsidR="00BF4F32">
              <w:rPr>
                <w:sz w:val="20"/>
                <w:szCs w:val="20"/>
              </w:rPr>
              <w:t>7</w:t>
            </w:r>
            <w:r>
              <w:rPr>
                <w:sz w:val="20"/>
                <w:szCs w:val="20"/>
              </w:rPr>
              <w:t>0</w:t>
            </w:r>
          </w:p>
        </w:tc>
      </w:tr>
    </w:tbl>
    <w:p w:rsidR="00CE3934" w:rsidRPr="00CC57AD" w:rsidRDefault="00CE3934" w:rsidP="00CC57AD">
      <w:pPr>
        <w:rPr>
          <w:sz w:val="20"/>
          <w:szCs w:val="20"/>
        </w:rPr>
      </w:pPr>
    </w:p>
    <w:p w:rsidR="00CC57AD" w:rsidRDefault="00CC57AD" w:rsidP="00933592"/>
    <w:p w:rsidR="004716FB" w:rsidRPr="00933592" w:rsidRDefault="004716FB" w:rsidP="00933592"/>
    <w:p w:rsidR="0017156A" w:rsidRPr="00CC57AD" w:rsidRDefault="0017156A" w:rsidP="0017156A">
      <w:pPr>
        <w:rPr>
          <w:sz w:val="20"/>
          <w:szCs w:val="20"/>
        </w:rPr>
      </w:pPr>
      <w:r w:rsidRPr="00CC57AD">
        <w:rPr>
          <w:b/>
          <w:sz w:val="20"/>
          <w:szCs w:val="20"/>
        </w:rPr>
        <w:t>Example 1</w:t>
      </w:r>
      <w:r w:rsidRPr="00CC57AD">
        <w:rPr>
          <w:sz w:val="20"/>
          <w:szCs w:val="20"/>
        </w:rPr>
        <w:t xml:space="preserve"> – based upon a salary of £43,000 with 7 months remaining in the financial year</w:t>
      </w:r>
    </w:p>
    <w:p w:rsidR="0017156A" w:rsidRPr="00CC57AD" w:rsidRDefault="0017156A" w:rsidP="0017156A">
      <w:pPr>
        <w:rPr>
          <w:sz w:val="20"/>
          <w:szCs w:val="20"/>
        </w:rPr>
      </w:pPr>
      <w:r w:rsidRPr="00CC57AD">
        <w:rPr>
          <w:sz w:val="20"/>
          <w:szCs w:val="20"/>
        </w:rPr>
        <w:t>Annual Salary</w:t>
      </w:r>
      <w:r w:rsidRPr="00CC57AD">
        <w:rPr>
          <w:sz w:val="20"/>
          <w:szCs w:val="20"/>
        </w:rPr>
        <w:tab/>
      </w:r>
      <w:r w:rsidRPr="00CC57AD">
        <w:rPr>
          <w:sz w:val="20"/>
          <w:szCs w:val="20"/>
        </w:rPr>
        <w:tab/>
      </w:r>
      <w:r w:rsidRPr="00CC57AD">
        <w:rPr>
          <w:sz w:val="20"/>
          <w:szCs w:val="20"/>
        </w:rPr>
        <w:tab/>
        <w:t>£43,000</w:t>
      </w:r>
    </w:p>
    <w:p w:rsidR="0017156A" w:rsidRPr="00CC57AD" w:rsidRDefault="0017156A" w:rsidP="0017156A">
      <w:pPr>
        <w:rPr>
          <w:sz w:val="20"/>
          <w:szCs w:val="20"/>
        </w:rPr>
      </w:pPr>
      <w:r w:rsidRPr="00CC57AD">
        <w:rPr>
          <w:sz w:val="20"/>
          <w:szCs w:val="20"/>
        </w:rPr>
        <w:t>7 months @ £243</w:t>
      </w:r>
      <w:r w:rsidRPr="00CC57AD">
        <w:rPr>
          <w:sz w:val="20"/>
          <w:szCs w:val="20"/>
        </w:rPr>
        <w:tab/>
      </w:r>
      <w:r w:rsidRPr="00CC57AD">
        <w:rPr>
          <w:sz w:val="20"/>
          <w:szCs w:val="20"/>
        </w:rPr>
        <w:tab/>
        <w:t>£1,701</w:t>
      </w:r>
    </w:p>
    <w:p w:rsidR="0017156A" w:rsidRPr="00CC57AD" w:rsidRDefault="0017156A" w:rsidP="0017156A">
      <w:pPr>
        <w:rPr>
          <w:sz w:val="20"/>
          <w:szCs w:val="20"/>
        </w:rPr>
      </w:pPr>
      <w:r>
        <w:rPr>
          <w:sz w:val="20"/>
          <w:szCs w:val="20"/>
        </w:rPr>
        <w:t>Taxable Pay</w:t>
      </w:r>
      <w:r>
        <w:rPr>
          <w:sz w:val="20"/>
          <w:szCs w:val="20"/>
        </w:rPr>
        <w:tab/>
      </w:r>
      <w:r>
        <w:rPr>
          <w:sz w:val="20"/>
          <w:szCs w:val="20"/>
        </w:rPr>
        <w:tab/>
      </w:r>
      <w:r>
        <w:rPr>
          <w:sz w:val="20"/>
          <w:szCs w:val="20"/>
        </w:rPr>
        <w:tab/>
        <w:t>£41,299</w:t>
      </w:r>
    </w:p>
    <w:p w:rsidR="0017156A" w:rsidRDefault="0017156A" w:rsidP="0017156A">
      <w:pPr>
        <w:rPr>
          <w:sz w:val="20"/>
          <w:szCs w:val="20"/>
        </w:rPr>
      </w:pPr>
      <w:r w:rsidRPr="00CC57AD">
        <w:rPr>
          <w:sz w:val="20"/>
          <w:szCs w:val="20"/>
        </w:rPr>
        <w:t>Tax Payer Band</w:t>
      </w:r>
      <w:r w:rsidRPr="00CC57AD">
        <w:rPr>
          <w:sz w:val="20"/>
          <w:szCs w:val="20"/>
        </w:rPr>
        <w:tab/>
      </w:r>
      <w:r w:rsidRPr="00CC57AD">
        <w:rPr>
          <w:sz w:val="20"/>
          <w:szCs w:val="20"/>
        </w:rPr>
        <w:tab/>
      </w:r>
      <w:r w:rsidRPr="00CC57AD">
        <w:rPr>
          <w:sz w:val="20"/>
          <w:szCs w:val="20"/>
        </w:rPr>
        <w:tab/>
        <w:t>Basic Rate Taxpayer</w:t>
      </w:r>
    </w:p>
    <w:p w:rsidR="0017156A" w:rsidRDefault="0017156A" w:rsidP="0017156A">
      <w:pPr>
        <w:rPr>
          <w:sz w:val="20"/>
          <w:szCs w:val="20"/>
        </w:rPr>
      </w:pPr>
    </w:p>
    <w:p w:rsidR="0017156A" w:rsidRDefault="0017156A" w:rsidP="0017156A">
      <w:pPr>
        <w:rPr>
          <w:sz w:val="20"/>
          <w:szCs w:val="20"/>
        </w:rPr>
      </w:pPr>
      <w:r>
        <w:rPr>
          <w:sz w:val="20"/>
          <w:szCs w:val="20"/>
        </w:rPr>
        <w:t>Employee works 37.5 hours per week</w:t>
      </w:r>
    </w:p>
    <w:p w:rsidR="0017156A" w:rsidRDefault="0017156A" w:rsidP="0017156A">
      <w:pPr>
        <w:rPr>
          <w:sz w:val="20"/>
          <w:szCs w:val="20"/>
        </w:rPr>
      </w:pPr>
      <w:r>
        <w:rPr>
          <w:sz w:val="20"/>
          <w:szCs w:val="20"/>
        </w:rPr>
        <w:t>Calculation of hourly rates - Taxable pay divided by number of weeks in the year and then divided by numbers of hours worked = Hourly take home rate</w:t>
      </w:r>
    </w:p>
    <w:p w:rsidR="0017156A" w:rsidRPr="00CC57AD" w:rsidRDefault="0017156A" w:rsidP="0017156A">
      <w:pPr>
        <w:rPr>
          <w:sz w:val="20"/>
          <w:szCs w:val="20"/>
        </w:rPr>
      </w:pPr>
      <w:r>
        <w:rPr>
          <w:sz w:val="20"/>
          <w:szCs w:val="20"/>
        </w:rPr>
        <w:t xml:space="preserve">(£41,299/52 weeks) = £794.21 per week </w:t>
      </w:r>
    </w:p>
    <w:p w:rsidR="0017156A" w:rsidRDefault="0017156A" w:rsidP="0017156A">
      <w:pPr>
        <w:rPr>
          <w:sz w:val="20"/>
          <w:szCs w:val="20"/>
        </w:rPr>
      </w:pPr>
      <w:r>
        <w:rPr>
          <w:sz w:val="20"/>
          <w:szCs w:val="20"/>
        </w:rPr>
        <w:t>£794.21 / 37.5 hours = £21.18 per hour</w:t>
      </w:r>
    </w:p>
    <w:p w:rsidR="0017156A" w:rsidRPr="00CC57AD" w:rsidRDefault="0017156A" w:rsidP="0017156A">
      <w:pPr>
        <w:rPr>
          <w:sz w:val="20"/>
          <w:szCs w:val="20"/>
        </w:rPr>
      </w:pPr>
    </w:p>
    <w:p w:rsidR="0017156A" w:rsidRPr="00CC57AD" w:rsidRDefault="0017156A" w:rsidP="0017156A">
      <w:pPr>
        <w:rPr>
          <w:sz w:val="20"/>
          <w:szCs w:val="20"/>
        </w:rPr>
      </w:pPr>
      <w:r w:rsidRPr="00CC57AD">
        <w:rPr>
          <w:b/>
          <w:sz w:val="20"/>
          <w:szCs w:val="20"/>
        </w:rPr>
        <w:t>Example 2</w:t>
      </w:r>
      <w:r w:rsidRPr="00CC57AD">
        <w:rPr>
          <w:sz w:val="20"/>
          <w:szCs w:val="20"/>
        </w:rPr>
        <w:t xml:space="preserve"> - based </w:t>
      </w:r>
      <w:r>
        <w:rPr>
          <w:sz w:val="20"/>
          <w:szCs w:val="20"/>
        </w:rPr>
        <w:t>upon a salary of £14,500</w:t>
      </w:r>
      <w:r w:rsidRPr="00CC57AD">
        <w:rPr>
          <w:sz w:val="20"/>
          <w:szCs w:val="20"/>
        </w:rPr>
        <w:t xml:space="preserve"> with 7 months remaining in the financial year</w:t>
      </w:r>
    </w:p>
    <w:p w:rsidR="0017156A" w:rsidRPr="00CC57AD" w:rsidRDefault="0017156A" w:rsidP="0017156A">
      <w:pPr>
        <w:rPr>
          <w:sz w:val="20"/>
          <w:szCs w:val="20"/>
        </w:rPr>
      </w:pPr>
      <w:r w:rsidRPr="00CC57AD">
        <w:rPr>
          <w:sz w:val="20"/>
          <w:szCs w:val="20"/>
        </w:rPr>
        <w:t>Annual Salary</w:t>
      </w:r>
      <w:r w:rsidRPr="00CC57AD">
        <w:rPr>
          <w:sz w:val="20"/>
          <w:szCs w:val="20"/>
        </w:rPr>
        <w:tab/>
      </w:r>
      <w:r w:rsidRPr="00CC57AD">
        <w:rPr>
          <w:sz w:val="20"/>
          <w:szCs w:val="20"/>
        </w:rPr>
        <w:tab/>
      </w:r>
      <w:r w:rsidRPr="00CC57AD">
        <w:rPr>
          <w:sz w:val="20"/>
          <w:szCs w:val="20"/>
        </w:rPr>
        <w:tab/>
        <w:t>£</w:t>
      </w:r>
      <w:r>
        <w:rPr>
          <w:sz w:val="20"/>
          <w:szCs w:val="20"/>
        </w:rPr>
        <w:t>14,500</w:t>
      </w:r>
    </w:p>
    <w:p w:rsidR="0017156A" w:rsidRDefault="0017156A" w:rsidP="0017156A">
      <w:pPr>
        <w:rPr>
          <w:sz w:val="20"/>
          <w:szCs w:val="20"/>
        </w:rPr>
      </w:pPr>
      <w:r>
        <w:rPr>
          <w:sz w:val="20"/>
          <w:szCs w:val="20"/>
        </w:rPr>
        <w:t>7 months @ £243</w:t>
      </w:r>
      <w:r>
        <w:rPr>
          <w:sz w:val="20"/>
          <w:szCs w:val="20"/>
        </w:rPr>
        <w:tab/>
      </w:r>
      <w:r>
        <w:rPr>
          <w:sz w:val="20"/>
          <w:szCs w:val="20"/>
        </w:rPr>
        <w:tab/>
        <w:t>£1,701</w:t>
      </w:r>
    </w:p>
    <w:p w:rsidR="0017156A" w:rsidRPr="00CC57AD" w:rsidRDefault="0017156A" w:rsidP="0017156A">
      <w:pPr>
        <w:rPr>
          <w:sz w:val="20"/>
          <w:szCs w:val="20"/>
        </w:rPr>
      </w:pPr>
      <w:r w:rsidRPr="00CC57AD">
        <w:rPr>
          <w:sz w:val="20"/>
          <w:szCs w:val="20"/>
        </w:rPr>
        <w:t>Taxable Pay</w:t>
      </w:r>
      <w:r w:rsidRPr="00CC57AD">
        <w:rPr>
          <w:sz w:val="20"/>
          <w:szCs w:val="20"/>
        </w:rPr>
        <w:tab/>
      </w:r>
      <w:r w:rsidRPr="00CC57AD">
        <w:rPr>
          <w:sz w:val="20"/>
          <w:szCs w:val="20"/>
        </w:rPr>
        <w:tab/>
      </w:r>
      <w:r w:rsidRPr="00CC57AD">
        <w:rPr>
          <w:sz w:val="20"/>
          <w:szCs w:val="20"/>
        </w:rPr>
        <w:tab/>
        <w:t>£</w:t>
      </w:r>
      <w:r>
        <w:rPr>
          <w:sz w:val="20"/>
          <w:szCs w:val="20"/>
        </w:rPr>
        <w:t>12,799</w:t>
      </w:r>
    </w:p>
    <w:p w:rsidR="0017156A" w:rsidRDefault="0017156A" w:rsidP="0017156A">
      <w:pPr>
        <w:rPr>
          <w:sz w:val="20"/>
          <w:szCs w:val="20"/>
        </w:rPr>
      </w:pPr>
      <w:r w:rsidRPr="00CC57AD">
        <w:rPr>
          <w:sz w:val="20"/>
          <w:szCs w:val="20"/>
        </w:rPr>
        <w:t>Tax Payer Band</w:t>
      </w:r>
      <w:r w:rsidRPr="00CC57AD">
        <w:rPr>
          <w:sz w:val="20"/>
          <w:szCs w:val="20"/>
        </w:rPr>
        <w:tab/>
      </w:r>
      <w:r w:rsidRPr="00CC57AD">
        <w:rPr>
          <w:sz w:val="20"/>
          <w:szCs w:val="20"/>
        </w:rPr>
        <w:tab/>
      </w:r>
      <w:r w:rsidRPr="00CC57AD">
        <w:rPr>
          <w:sz w:val="20"/>
          <w:szCs w:val="20"/>
        </w:rPr>
        <w:tab/>
      </w:r>
      <w:r>
        <w:rPr>
          <w:sz w:val="20"/>
          <w:szCs w:val="20"/>
        </w:rPr>
        <w:t>Basic</w:t>
      </w:r>
      <w:r w:rsidRPr="00CC57AD">
        <w:rPr>
          <w:sz w:val="20"/>
          <w:szCs w:val="20"/>
        </w:rPr>
        <w:t xml:space="preserve"> Rate Taxpayer</w:t>
      </w:r>
    </w:p>
    <w:p w:rsidR="00106165" w:rsidRDefault="00106165" w:rsidP="009E2D0D"/>
    <w:p w:rsidR="0017156A" w:rsidRDefault="0017156A" w:rsidP="0017156A">
      <w:pPr>
        <w:rPr>
          <w:sz w:val="20"/>
          <w:szCs w:val="20"/>
        </w:rPr>
      </w:pPr>
      <w:r>
        <w:rPr>
          <w:sz w:val="20"/>
          <w:szCs w:val="20"/>
        </w:rPr>
        <w:t>Employee works 32 hours per week</w:t>
      </w:r>
    </w:p>
    <w:p w:rsidR="0017156A" w:rsidRDefault="0017156A" w:rsidP="0017156A">
      <w:pPr>
        <w:rPr>
          <w:sz w:val="20"/>
          <w:szCs w:val="20"/>
        </w:rPr>
      </w:pPr>
      <w:r>
        <w:rPr>
          <w:sz w:val="20"/>
          <w:szCs w:val="20"/>
        </w:rPr>
        <w:t>Calculation of hourly rates - Taxable pay divided by number of weeks in the year and then divided by numbers of hours worked = Hourly take home rate</w:t>
      </w:r>
    </w:p>
    <w:p w:rsidR="0017156A" w:rsidRPr="00CC57AD" w:rsidRDefault="0017156A" w:rsidP="0017156A">
      <w:pPr>
        <w:rPr>
          <w:sz w:val="20"/>
          <w:szCs w:val="20"/>
        </w:rPr>
      </w:pPr>
      <w:r>
        <w:rPr>
          <w:sz w:val="20"/>
          <w:szCs w:val="20"/>
        </w:rPr>
        <w:t xml:space="preserve">(£12,799/52 weeks) = £246.13 per week </w:t>
      </w:r>
    </w:p>
    <w:p w:rsidR="0017156A" w:rsidRDefault="0017156A" w:rsidP="0017156A">
      <w:pPr>
        <w:rPr>
          <w:sz w:val="20"/>
          <w:szCs w:val="20"/>
        </w:rPr>
      </w:pPr>
      <w:r>
        <w:rPr>
          <w:sz w:val="20"/>
          <w:szCs w:val="20"/>
        </w:rPr>
        <w:t>£246.13 / 32 hours = £7.69 per hour</w:t>
      </w:r>
    </w:p>
    <w:p w:rsidR="0017156A" w:rsidRDefault="0017156A" w:rsidP="009E2D0D"/>
    <w:sectPr w:rsidR="00171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063DC"/>
    <w:multiLevelType w:val="hybridMultilevel"/>
    <w:tmpl w:val="9340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DA"/>
    <w:rsid w:val="00106165"/>
    <w:rsid w:val="0017156A"/>
    <w:rsid w:val="002B0268"/>
    <w:rsid w:val="003117DA"/>
    <w:rsid w:val="00394FE1"/>
    <w:rsid w:val="004716FB"/>
    <w:rsid w:val="0073360C"/>
    <w:rsid w:val="0073461B"/>
    <w:rsid w:val="00743D5B"/>
    <w:rsid w:val="0091083C"/>
    <w:rsid w:val="00933592"/>
    <w:rsid w:val="009E2D0D"/>
    <w:rsid w:val="00AB5217"/>
    <w:rsid w:val="00AE4BA5"/>
    <w:rsid w:val="00B0739E"/>
    <w:rsid w:val="00BF4F32"/>
    <w:rsid w:val="00C07236"/>
    <w:rsid w:val="00CC1EDA"/>
    <w:rsid w:val="00CC57AD"/>
    <w:rsid w:val="00CE3934"/>
    <w:rsid w:val="00F52E10"/>
    <w:rsid w:val="00F80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71968-CE26-49E2-B3D9-79B56B3F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E10"/>
    <w:pPr>
      <w:ind w:left="720"/>
      <w:contextualSpacing/>
    </w:pPr>
  </w:style>
  <w:style w:type="table" w:styleId="TableGrid">
    <w:name w:val="Table Grid"/>
    <w:basedOn w:val="TableNormal"/>
    <w:uiPriority w:val="59"/>
    <w:rsid w:val="00F80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Midcounties Co-operative</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Dalvinder Purewal</dc:creator>
  <cp:lastModifiedBy>Mark Redgrave</cp:lastModifiedBy>
  <cp:revision>3</cp:revision>
  <dcterms:created xsi:type="dcterms:W3CDTF">2018-04-03T14:17:00Z</dcterms:created>
  <dcterms:modified xsi:type="dcterms:W3CDTF">2018-04-03T14:17:00Z</dcterms:modified>
</cp:coreProperties>
</file>